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12" w:rsidRPr="00D01C12" w:rsidRDefault="00D01C12" w:rsidP="00D01C1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D01C1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</w:t>
      </w:r>
    </w:p>
    <w:p w:rsidR="00D01C12" w:rsidRPr="00D01C12" w:rsidRDefault="00D01C12" w:rsidP="00D01C1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D01C1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энергетики Республики Казахстан от 11 февраля 2015 года № 73. Зарегистрирован в Министерстве юстиции Республики Казахстан 17 марта 2015 года № 10451</w:t>
      </w:r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D01C12">
          <w:rPr>
            <w:rFonts w:ascii="Arial" w:eastAsia="Times New Roman" w:hAnsi="Arial" w:cs="Arial"/>
            <w:color w:val="9A1616"/>
            <w:spacing w:val="5"/>
            <w:sz w:val="23"/>
            <w:szCs w:val="23"/>
            <w:u w:val="single"/>
            <w:lang w:eastAsia="ru-RU"/>
          </w:rPr>
          <w:t>Текст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Официальная публикация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Информация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История изменений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Ссылки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На двух языках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Скачать</w:t>
        </w:r>
      </w:hyperlink>
    </w:p>
    <w:p w:rsidR="00D01C12" w:rsidRPr="00D01C12" w:rsidRDefault="00D01C12" w:rsidP="00D01C12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Pr="00D01C12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Печать</w:t>
        </w:r>
      </w:hyperlink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36) </w:t>
      </w:r>
      <w:hyperlink r:id="rId14" w:anchor="z7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«Об электроэнергетике» от 9 июля 2004 года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1"/>
      <w:bookmarkEnd w:id="0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Утвердить прилагаемые </w:t>
      </w:r>
      <w:hyperlink r:id="rId15" w:anchor="z12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технического обслуживания и ремонта оборудования, зданий и сооружений электростанций, тепловых и электрических сетей.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22"/>
      <w:bookmarkEnd w:id="1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государственную регистрацию настоящего приказа в Министерстве юстиции Республики Казахстан;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3) размещение настоящего приказа на официальном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энергетики Республики Казахстан и на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интранет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-портале государственных органов;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23"/>
      <w:bookmarkEnd w:id="2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 исполнением настоящего приказа возложить на курирующего вице-министра энергетики Республики Казахстан.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24"/>
      <w:bookmarkEnd w:id="3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Настоящий приказ вводится в действие по истечении десяти календарных дней после дня его официального опубликования.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 </w:t>
      </w:r>
      <w:r w:rsidRPr="00D01C12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 Министр                                    В. Школьник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Утверждены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приказом Министра энергетики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11 февраля 2015 года № 73 </w:t>
      </w:r>
    </w:p>
    <w:p w:rsidR="00D01C12" w:rsidRPr="00D01C12" w:rsidRDefault="00D01C12" w:rsidP="00D01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организации технического обслуживания и ремонта оборудования,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зданий и сооружений электростанций, тепловых и электрических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сетей</w:t>
      </w:r>
    </w:p>
    <w:p w:rsidR="00D01C12" w:rsidRPr="00D01C12" w:rsidRDefault="00D01C12" w:rsidP="00D01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1.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Настоящие Правила организации технического обслуживания и ремонта оборудования, зданий и сооружений электростанций, тепловых и электрических сетей (далее - Правила) разработаны в соответствии с подпунктом 36) </w:t>
      </w:r>
      <w:hyperlink r:id="rId16" w:anchor="z7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Закона Республики Казахстан от 9 июля 2004 года «Об электроэнергетике» и определяют порядок организации технического обслуживания и ремонта оборудования, зданий и сооружений электростанций, тепловых и электрических сетей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8"/>
      <w:bookmarkEnd w:id="4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настоящих Правилах применяются следующие основные понятия: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13"/>
      <w:bookmarkEnd w:id="5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байпас - обводной теплопровод, применяющийся для транспортировки теплоносителя параллельно запорной и регулирующей арматуре;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4"/>
      <w:bookmarkEnd w:id="6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оборудование - совокупность механизмов, машин, устройств, приборов, объединенных определенной технологической схемой;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5"/>
      <w:bookmarkEnd w:id="7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исправное состояние - состояние оборудования, зданий и (или) сооружений, при котором они соответствуют всем требованиям нормативно-технической и (или) конструкторской (проектной) документации;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6"/>
      <w:bookmarkEnd w:id="8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ремонт - комплекс мероприятий по восстановлению работоспособного состояния и (или) исправного состояния оборудования, зданий и сооружений и восстановлению ресурсов их составных частей;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7"/>
      <w:bookmarkEnd w:id="9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работоспособное состояние - состояние оборудования, зданий и (или) сооружений, при котором значения всех параметров, характеризующих способность выполнять заданные функции, соответствуют требованиям нормативно-технической и (или) конструкторской (проектной) документации;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8"/>
      <w:bookmarkEnd w:id="10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техническое обслуживание - комплекс мероприятий или мероприятие по поддержанию работоспособного состояния и (или) исправного состояния оборудования, зданий и сооружений при использовании по назначению, хранении и (или) транспортировке без вывода их в ремонт;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9"/>
      <w:bookmarkEnd w:id="11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останов - плановый или внеплановый вывод из работы генерирующих установок.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29"/>
      <w:bookmarkEnd w:id="12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Настоящие Правила не распространяются на организацию аварийного ремонта оборудования, зданий и сооружений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30"/>
      <w:bookmarkEnd w:id="13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на постоянной основе обеспечивают исправное состояние оборудования, зданий и сооружений, используемых, соответственно, для производства и (или) распределения электрической и (или) тепловой энергии, путем организации и проведения комплекса работ, который включает в себя: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техническое обслуживание оборудования, зданий и сооружений электростанций, тепловых и электрических сетей;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ремонт оборудования, зданий и сооружений электростанций, тепловых и электрических сетей.</w:t>
      </w:r>
      <w:proofErr w:type="gramEnd"/>
    </w:p>
    <w:p w:rsidR="00D01C12" w:rsidRPr="00D01C12" w:rsidRDefault="00D01C12" w:rsidP="00D01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организации технического обслуживания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оборудования, зданий и сооружений электростанций,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тепловых и электрических сетей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Периодичность и объем технического обслуживания, а также состав работ по техническому обслуживанию оборудования, зданий и сооружений электростанций, тепловых и электрических сетей устанавливаются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организациями самостоятельно с учетом инструкций производителя по эксплуатации и фактических условий эксплуатации.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33"/>
      <w:bookmarkEnd w:id="14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Типовой состав работ по техническому обслуживанию оборудования, зданий и сооружений электростанций, тепловых и электрических сетей изложен в </w:t>
      </w:r>
      <w:hyperlink r:id="rId17" w:anchor="z1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34"/>
      <w:bookmarkEnd w:id="15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Учет работ по техническому обслуживанию осуществляется путем ведения журналов технического обслуживания по видам оборудования, зданиям и сооружениям электростанций, тепловых и электрических сетей. Такие журналы содержат сведения о выполненных работах по техническому обслуживанию и их результатах с приложением подтверждающих документов. Форма журналов устанавливаются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организациями.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5"/>
      <w:bookmarkEnd w:id="16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Учет выявленных дефектов осуществляется в отдельном журнале с указанием 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информации о дате выявления дефекта, дате и способе его рекомендуемого и фактического устранения.</w:t>
      </w:r>
    </w:p>
    <w:p w:rsidR="00D01C12" w:rsidRPr="00D01C12" w:rsidRDefault="00D01C12" w:rsidP="00D01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Порядок организации ремонта оборудования, зданий и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сооружений электростанций, тепловых и электрических сетей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осуществляют планирование ремонта своего оборудования, зданий и сооружений электростанций, тепловых и электрических сетей, которое включает в себя разработку: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перспективного плана ремонта оборудования, зданий и сооружений организации на пять лет;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годовых графиков ремонта оборудования, зданий и сооружений.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8"/>
      <w:bookmarkEnd w:id="17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Перспективный план ремонта оборудования, зданий и сооружений электростанций, тепловых и электрических сетей разрабатывается по формам согласно </w:t>
      </w:r>
      <w:hyperlink r:id="rId18" w:anchor="z2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приложениям 2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9" w:anchor="z3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 и в случае необходимости ежегодно корректируется с учетом фактических обстоятельств.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39"/>
      <w:bookmarkEnd w:id="18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Годовой график ремонта оборудования, зданий и сооружений электростанций, тепловых и электрических сетей разрабатывается на основе перспективного плана с учетом технического состояния объектов и устанавливает календарное время вывода в ремонт каждого отдельного объекта, продолжительность ремонта и планируемый объем работ с распределением по исполнителям.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40"/>
      <w:bookmarkEnd w:id="19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Перспективный план и годовой график ремонта оборудования, зданий и сооружений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 разрабатываются с учетом рабочей мощности соответствующей электростанции.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41"/>
      <w:bookmarkEnd w:id="20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При разработке графика ремонта оборудования зданий и сооружений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 необходимо учитывать следующее: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суммарная продолжительность простоя оборудования во всех видах ремонта устанавливается с учетом согласованной рабочей мощности соответствующей электростанции;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капитальный ремонт головных установок планируется в сроки, определяемые с учетом их технического состояния и требований завода-изготовителя;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гидроагрегаты, включенные в работу при напорах, размер которых ниже расчетных (минимальных) в пределах от пятнадцати до двадцати процентов, рекомендуется выводить в капитальный ремонт через два года после монтажа;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ремонт корпусов котлов дубль-блоков планируется с одновременным остановом и пуском обоих корпусов или сдвигом останова и пуска одного из корпусов, определяемого технологией ремонта и условиями эксплуатации;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сроки ремонта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котлоагрегатов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электростанциях с поперечными связями планируется совмещать со сроками ремонтов турбоагрегатов;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капитальный ремонт резервного вспомогательного оборудования планируется в периоды между капитальными ремонтами основного оборудования;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7) капитальный ремонт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общестанционного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оборудования, отключение которого не ограничивает рабочую мощность электростанций, планируется на периоды между ремонтами основного оборудования;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8) капитальный ремонт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общестанционного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оборудования, связанный со снижением рабочей мощности электростанции, планируется одновременно с ремонтом основного оборудования.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42"/>
      <w:bookmarkEnd w:id="21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При необходимости вывода дымовых труб, газоходов и градирен в ремонт на длительный срок, связанного с ограничением мощности электростанции,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организациями обеспечиваются переключение основного оборудования на другие сооружения или установка на период ремонта временных сооружений, сокращающих или полностью устраняющих ограничение мощности.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43"/>
      <w:bookmarkEnd w:id="22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Вывод в ремонт оборудования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энергопроизводящей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производится по программе, утвержденной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энергопроизводящей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организацией, которая предусматривает: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проведение эксплуатационных испытаний. Испытания проводятся не ранее чем за месяц и не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позднее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чем за пять календарных дней до вывода оборудования в ремонт.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Результаты испытаний заносятся в ведомости основных параметров технического состояния установки по формам согласно </w:t>
      </w:r>
      <w:hyperlink r:id="rId20" w:anchor="z4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приложениям 4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</w:t>
      </w:r>
      <w:hyperlink r:id="rId21" w:anchor="z11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очистку установки снаружи (площадки обслуживания, наружная поверхность оборудования, трубопроводов, газо- и воздухопроводов,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пылепроводов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пределах установки) от пыли, золы и мусора, удаление с рабочих мест постороннего оборудования, материалов, которая производится после останова оборудования;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сработку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топлива в бункерах котла при его останове, обдувку поверхностей нагрева,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стряхивание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электродов электрофильтров и промывку золоуловителей. Зола и шлак из бункеров и леток удаляются на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золоотвал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принудительное расхолаживание турбин при останове и при необходимости промывку проточной части под нагрузкой.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44"/>
      <w:bookmarkEnd w:id="23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По результатам ремонта оборудования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энергопроизводящей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заполняются ведомости параметров технического состояния оборудования по формам согласно </w:t>
      </w:r>
      <w:hyperlink r:id="rId22" w:anchor="z4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приложениям 4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</w:t>
      </w:r>
      <w:hyperlink r:id="rId23" w:anchor="z11" w:history="1">
        <w:r w:rsidRPr="00D01C12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</w:t>
        </w:r>
      </w:hyperlink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45"/>
      <w:bookmarkEnd w:id="24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При разработке графика ремонта оборудования, зданий и сооружений тепловых сетей учитывается дата начала и окончания отопительного сезона.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46"/>
      <w:bookmarkEnd w:id="25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18. В графике ремонта предусматривается одновременный ремонт трубопроводов сети и тепловых пунктов, а также ревизия и ремонт головных задвижек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расходомерных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устройств на выводах источников теплоты.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47"/>
      <w:bookmarkEnd w:id="26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График ремонта тепловых сетей составляется с учетом проведения ремонтных работ на источниках теплоты.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48"/>
      <w:bookmarkEnd w:id="27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В проектах производства работ на перекладку тепловых сетей на территориях с плодородным слоем почвы предусматриваются срезка этого слоя и использование его для озеленения и последующего восстановления плодородия почвы на данном объекте.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49"/>
      <w:bookmarkEnd w:id="28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При невозможности обеспечить потребителей нормальным теплоснабжением на все время планового ремонта в проектной документации предусматривается строительство байпаса. При выполнении планового ремонта в отопительный период не сооружается байпас меньшим диаметром, чем основной теплопровод.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50"/>
      <w:bookmarkEnd w:id="29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Сооружение байпаса и переключение на него всех потребителей завершаются до вывода участка тепловой сети в плановый ремонт. После окончания планового ремонта тепловой сети байпас демонтируется с приведением территории его прохождения в первоначальный вид.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51"/>
      <w:bookmarkEnd w:id="30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Для планирования и организации работ по ремонту и техническому обслуживанию объекты электросети напряжением от 0,38 до 20 киловольт группируются, исходя из условий эксплуатации, характеристики потребителей, конструктивных особенностей объектов, сроков эксплуатации, применяемой организации работ, состояния подъездов к месту работ. Указанные группы рассматриваются как единые объекты ремонта и технического обслуживания.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качестве таких объектов принимаются: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воздушная линия электропередачи напряжением от 6 до 20 киловольт либо ее участки;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группа линий напряжением 0,38 киловольт одного населенного пункта;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несколько трансформаторных подстанций 6-20/0,38 киловольт одного населенного пункта;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распределительный пункт 6-20 киловольт.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52"/>
      <w:bookmarkEnd w:id="31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24.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Капитальный ремонт производится со следующей периодичностью: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воздушных линий электропередачи на железобетонных и металлических опорах - не реже одного раза в десять лет;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воздушных линий электропередачи на опорах с деревянными деталями - не реже одного раза в пять лет;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трансформаторных подстанций, распределительных пунктов и секционирующих пунктов - не реже одного раза в десять лет.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53"/>
      <w:bookmarkEnd w:id="32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подготовки и проведения работ по ремонту оборудования, зданий и сооружений электрических сетей используются технологические карты, разрабатываемые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организациями. В технологических картах предусматриваются технология выполнения работ, состав бригад и квалификация персонала, нормы времени, требования по технике 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безопасности, перечень защитных средств, материалов, механизмов, инструментов, приспособлений, инвентаря, используемых для выполнения работ.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54"/>
      <w:bookmarkEnd w:id="33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Допускается применение типовых технологических карт, разрабатываемых ассоциациями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55"/>
      <w:bookmarkEnd w:id="34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Выполнение работ по ремонту воздушных линий электропередачи, связанных с приближением к токоведущим частям, производится с отключением и заземлением обслуживаемой воздушной линии электропередачи.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56"/>
      <w:bookmarkEnd w:id="35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Для сохранения работоспособности воздушных линий электропередачи при производстве ремонта применяются методы работ под напряжением.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57"/>
      <w:bookmarkEnd w:id="36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Плановый ремонт воздушных линий электропередачи, проходящих по землям сельскохозяйственного назначения, проводится по согласованию с землепользователями.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58"/>
      <w:bookmarkEnd w:id="37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Бригады, выполняющие работы на объектах электросетей, оснащаются средствами связи с диспетчерскими пунктами и ремонтно-производственными базами.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Типовой состав работ по техническому обслуживанию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оборудования, зданий и сооружений электростанций,</w:t>
      </w:r>
      <w:r w:rsidRPr="00D01C1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тепловых и электрических сетей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Техническое обслуживание действующего оборудования электростанций предусматривает выполнение комплекса мероприятий по осмотру, контролю, смазке, регулировке, не требующих вывода его в текущий ремонт, в том числе: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обход по графику и осмотр работающего оборудования для контроля состояния и своевременного выявления дефектов;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смазка трущихся деталей, замена смотровых стекол, загрузка дроби и шаров, осмотр и замена дефектных бил молотковых мельниц, чистка масляных, мазутных, воздушных и водяных фильтров и отстойников, чистка решеток водоочистных сооружений, трубных досок конденсаторов и маслоохладителей, осмотр и проверка механизмов управления, подшипников, приводов арматуры, подтяжка сальников, регулировка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обдувочных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дробеструйных, газ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о-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пневмоимпульсных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ультразвуковых и электроимпульсных аппаратов и другое;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обдувка поверхностей нагрева, устранение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зашлакований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присосов,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пылений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парений, утечек воды, масла, газа и мазута, обслуживание водомерных колонок, контроль и регулировка средств измерений и автоматического регулирования и другое;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наблюдение за опорами, креплениями, указателями положения трубопроводов и другие работы по поддержанию исправного состояния оборудования, находящегося в эксплуатации;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осмотр и проверка оборудования при нахождении его в резерве с целью выявления и устранения отклонений от нормального состояния.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61"/>
      <w:bookmarkEnd w:id="38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Техническое обслуживание действующего оборудования тепловых сетей предусматривает выполнение комплекса мероприятий по осмотру, контролю, смазке и регулировке, не требующих вывода его в ремонт, в том числе: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поддержание в исправном состоянии всего оборудования, строительных и других конструкций тепловых сетей с проведением их своевременного осмотра;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обслуживание оборудования тепловых сетей, наблюдение за работой теплопроводов, контрольно-измерительной аппаратуры, устройств автоматики, электротехнического оборудования, устройств защиты от электрохимической коррозии и других элементов оборудования, своевременное устранение всех замеченных дефектов;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устранение излишних потерь тепла путем удаления скапливающейся в каналах и камерах воды, ликвидации проникновения грунтовых и верховых вод в камеры и каналы, своевременное выявление и восстановление разрушенной тепловой изоляции;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4) удаление воздуха из теплопроводов через воздушники, ликвидация присосов воздуха 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 сети, поддержание необходимого избыточного давления во всех точках сети и системах потребителей;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поддержание чистоты в камерах и проходных каналах, недопущение возможности проникновения в них посторонних лиц;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принятие мер к предупреждению, локализации и ликвидация неполадок и аварий в сетях;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7) проведение по графику испытаний сетей на гидравлическую плотность, расчетную температуру, тепловые и гидравлические потери, на наличие потенциалов блуждающих токов и тому подобное;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осуществление контроля за техническим состоянием тепломеханического оборудования тепловых пунктов и его регулировкой;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проведение контроля состояния строительно-изоляционных конструкций, тепловой изоляции и трубопроводов в подземных прокладках тепловых сетей с применением современных методов диагностирования.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62"/>
      <w:bookmarkEnd w:id="39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техническом обслуживании воздушных линий электропередачи напряжением 35 киловольт и выше выполняются осмотры, профилактические проверки, измерения, отдельные виды работ по устранению мелких повреждений и неисправностей, в том числе: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периодический осмотр воздушных линий электропередачи (далее -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дневное время без подъема на опоры (рекомендуется проводить не реже одного раза в год);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периодический верховой осмотр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дневное время с выборочной проверкой состояния проводов, тросов в зажимах и дистанционных распорок (рекомендуется проводить не реже не реже одного раза в десять лет, а для ВЛ со сроком службы более двадцати лет - не реже одного раза в пять лет);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периодический выборочный осмотр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дневное время (рекомендуется проводить не реже одного раза в год);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внеочередной обход после стихийных явлений, автоматического отключения ВЛ от действия релейной защиты, успешного повторного включения ВЛ;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периодический выборочный осмотр ВЛ в ночное время;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6) проверка расстояния от проводов до поверхности земли и различных объектов до пересекаемых сооружений, проверка положения опор, проверка и подтяжка бандажей, болтовых соединений, выборочная проверка состояния фундаментов опор и болтов опор на оттяжках со вскрытием грунта, проверка антикоррозионного покрытия металлических опор, траверс,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подножников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проверка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тяжения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оттяжках опор, проверка изоляторов всех типов (визуально);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проверка загнивания деталей деревянных опор (рекомендуется проводить первый раз через 3-6 лет после ввода в эксплуатацию, далее в период, предшествующий ремонту, с заменой древесины);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проверка состояния контактных болтовых соединений проводов электрическими измерениями (рекомендуется проводить не реже одного раза в пять лет);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9) проверка электрической прочности фарфоровых изоляторов (рекомендуется проводить первый раз в первом или втором году после ввода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эксплуатацию, второй раз в период от шести до десяти лет после ввода ВЛ в эксплуатацию, далее - в зависимости от уровня отбраковки и условий работы изоляторов);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10) проверка заземляющих устройств опор на опорах всех типов (при осмотрах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измерение сопротивления заземляющих устройств опор ВЛ напряжением 110 киловольт и выше с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молниезащитными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тросами (после обнаружения следов перекрытий или разрушений изоляторов электрической дугой), выборочное измерение сопротивления заземляющих устройств опор в населенной местности, на участках ВЛ с агрессивными, оползневыми, плохо проводящими грунтами (рекомендуется проводить не реже одного раза в двенадцать лет);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проверка трубчатых разрядников и защитных промежутков (рекомендуется трубчатые разрядники один раз в три года снимать с опор для проверки);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12) вырубка отдельных угрожающих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деревьев, обрезка сучьев, восстановление знаков и плакатов, замена отдельных элементов ВЛ, выправка отдельных опор, наблюдение за образованием гололеда, охрана ВЛ.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63"/>
      <w:bookmarkEnd w:id="40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При техническом обслуживании воздушных линий электропередачи, трансформаторных 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подстанций и распределительных пунктов распределительных сетей напряжением от 0,38 до 20 киловольт выполняются осмотры, проверки, измерения и отдельные виды работ по устранению мелких повреждений и неисправностей, в том числе: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осмотр по всей длине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трансформаторов электромонтерами (рекомендуется проводить ежегодно), осмотр отдельных участков ВЛ инженерно-техническим персоналом, верховой осмотр, внеочередные осмотры ВЛ (после стихийных явлений, связанные с непредвиденным отключением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после успешного повторного включения);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проверка степени загнивания деталей деревянных опор в соответствии с нормами, а также перед подъемом на опору или сменой деталей;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измерение сопротивления заземления опор на опорах с разрядниками, защитными промежутками и электрооборудованием, заземлителями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грозозащиты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повторными заземлителями нулевого провода (рекомендуется - не реже одного раза в шесть лет), выборочно на два процента железобетонных опор от общего числа опор в населенной местности на участках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наиболее агрессивными или плохо проводящими грунтами (рекомендуется - не реже одного раза в двенадцать лет);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выборочная (два процента опор с заземлителями) проверка заземляющего устройства с вскрытием грунта (рекомендуется - не реже одного раза в двенадцать лет);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проверка расстояний от проводов до поверхности земли и различных объектов в местах сближения и пересечения;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проверка сопротивления петли «фаза-ноль» при подключении новых потребителей и выполнении работ, вызывающих изменение этого сопротивления;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проверка трубчатых разрядников со снятием с опоры (рекомендуется проводить один раз в шесть лет);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8) вырубка отдельных деревьев, угрожающих падением на провода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ВЛ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обрезка кроны на отдельных деревьях, удаление забросов на провода, замена отдельных поврежденных элементов ВЛ, замена трубчатых разрядников, восстановление постоянных знаков, плакатов, выполнение мероприятий, связанных с охраной ВЛ;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9) измерение нагрузок и напряжения на трансформаторах и отходящих линиях (рекомендуется проводить один раз в год в период максимальных нагрузок;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измерение сопротивления изоляции трансформаторов и испытание повышенным напряжением изоляции распределительного устройства напряжением от 6 до 20 киловольт, испытание трансформаторного масла трансформаторов 630 киловольт ампер и выше, измерение сопротивления заземляющего устройства;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замена дефектных элементов, доливка масла в маслонаполненные аппараты, обновление надписей, диспетчерских наименований и знаков безопасности.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64"/>
      <w:bookmarkEnd w:id="41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техническом обслуживании оборудования подстанции напряжением 35 киловольт и выше выполняются следующие группы работ: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осмотр главных трансформаторов (рекомендуется проводить один раз в сутки), ночной осмотр (рекомендуется проводить не реже одного раза в месяц), внеочередной осмотр после непредвиденного отключения оборудования;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испытания, контроль параметров и изоляционных характеристик оборудования, опробование работы коммутационных аппаратов и приводов в межремонтный период;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профилактические работы, включая отбор проб масла, доливка масла, замена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селикагеля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чистка и обмыв водой загрязненной изоляции оборудования, ошиновка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распредустройств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смазка трущихся и вращающихся узлов и элементов.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65"/>
      <w:bookmarkEnd w:id="42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Техническое обслуживание зданий и сооружений предусматривает выполнение комплекса мероприятий по инженерному надзору и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исправным состоянием зданий и сооружений, их инженерных систем и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промплощадки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своевременному устранению отдельных дефектов и выполнению мелких разовых ремонтных работ, в том числе: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контроль за соблюдением требований, направленных на сохранение строительных конструкций;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обеспечение осмотров и обследований производственных зданий и сооружений по утвержденным графикам;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наблюдение за осадками зданий и сооружений;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контроль за соблюдением режима эксплуатации, предусмотренного проектом 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(вибрационные нагрузки, вентиляция, температурно-влажностный режим и т.д.), контроль за предотвращением перегрузок на кровли, перекрытия;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наблюдение за развитием деформаций, выявление дефектов строительных конструкций;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6) наблюдение за режимом грунтовых вод, предотвращение обводнения оснований и фундаментов;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поддержание в исправном состоянии устройств для отвода атмосферных вод;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очистка и промывка конструкций от загрязнения, санитарное содержание зданий и сооружений;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контроль за состоянием антикоррозионного покрытия металлических и железобетонных конструкций;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выполнение работ по устранению отдельных деформаций, мелкие разовые работы по устранению дефектов;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11) выполнение мероприятий по подготовке к зиме, паводку,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противообледенению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противопожарных, по охране окружающей среды.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Утверждаю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(дата, подпись, Ф.И.О.)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 Перспективный план ремонта оборудования, зданий и сооружений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электростанций, электрических сетей с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 20___ года по 20___ год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 _____________________________________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 (наименование организации)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158"/>
        <w:gridCol w:w="1242"/>
        <w:gridCol w:w="654"/>
        <w:gridCol w:w="1662"/>
        <w:gridCol w:w="1075"/>
        <w:gridCol w:w="739"/>
        <w:gridCol w:w="991"/>
        <w:gridCol w:w="1159"/>
        <w:gridCol w:w="907"/>
        <w:gridCol w:w="1075"/>
      </w:tblGrid>
      <w:tr w:rsidR="00D01C12" w:rsidRPr="00D01C12" w:rsidTr="00D01C12">
        <w:tc>
          <w:tcPr>
            <w:tcW w:w="5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6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Вид ремонта (капитальный, текущий, перечень основных спец. работ, модернизация)</w:t>
            </w:r>
          </w:p>
        </w:tc>
        <w:tc>
          <w:tcPr>
            <w:tcW w:w="22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Планируемое время ремонта</w:t>
            </w:r>
          </w:p>
        </w:tc>
        <w:tc>
          <w:tcPr>
            <w:tcW w:w="26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Нормативная продолжительность</w:t>
            </w:r>
          </w:p>
        </w:tc>
        <w:tc>
          <w:tcPr>
            <w:tcW w:w="309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службы оборудования</w:t>
            </w:r>
          </w:p>
        </w:tc>
        <w:tc>
          <w:tcPr>
            <w:tcW w:w="12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стоимость ремонта, тыс. тенге</w:t>
            </w:r>
          </w:p>
        </w:tc>
        <w:tc>
          <w:tcPr>
            <w:tcW w:w="12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Исполнитель работ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Месяц вывода в ремонт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Продолжительность, кал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утки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планируемом виде ремонта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текущем ремонте в течение года, кал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утки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 последнего кап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емонта до начала планируем. год (час)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начала эксплуатации год (час)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______________________________________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"_____" ____________ 20_____год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Примечание: к перспективному плану прилагается пояснительная записка, в которой обосновываются необходимость выполнения специальных работ, модернизации, указанных в графе 3, наличие технической и сметной документации, потребность в материальных и трудовых ресурсах.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3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Утверждаю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Руководитель организации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(дата, подпись, Ф.И.О.)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Перспективный план ремонта тепловых сетей с 20__года по 20__год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 _________________________________________________________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 (наименование организации)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541"/>
        <w:gridCol w:w="1367"/>
        <w:gridCol w:w="1193"/>
        <w:gridCol w:w="1280"/>
        <w:gridCol w:w="1280"/>
        <w:gridCol w:w="672"/>
        <w:gridCol w:w="933"/>
        <w:gridCol w:w="933"/>
        <w:gridCol w:w="1106"/>
      </w:tblGrid>
      <w:tr w:rsidR="00D01C12" w:rsidRPr="00D01C12" w:rsidTr="00D01C12">
        <w:tc>
          <w:tcPr>
            <w:tcW w:w="93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ремонта</w:t>
            </w:r>
          </w:p>
        </w:tc>
        <w:tc>
          <w:tcPr>
            <w:tcW w:w="21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Эксплуатационный район</w:t>
            </w:r>
          </w:p>
        </w:tc>
        <w:tc>
          <w:tcPr>
            <w:tcW w:w="18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Адрес ремонтируемого участка тепловой сети</w:t>
            </w:r>
          </w:p>
        </w:tc>
        <w:tc>
          <w:tcPr>
            <w:tcW w:w="15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16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Диаметр трубопровода,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7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Протяженность участка,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9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Планируемое время ремонта</w:t>
            </w:r>
          </w:p>
        </w:tc>
        <w:tc>
          <w:tcPr>
            <w:tcW w:w="12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Примерная стоимость ремонта</w:t>
            </w:r>
          </w:p>
        </w:tc>
        <w:tc>
          <w:tcPr>
            <w:tcW w:w="14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9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______________________________________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"_______" ______________ 20___ год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Электростанция ___________________________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 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  основных параметров технического состояния паротурбинной установки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  станции № _____ с турбиной типа (производитель) ______, заводской №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  _________, год выпуска________, год пуска в эксплуатацию 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 Паротурбинная установка находилась в ремонте 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  с «__» ________ _____ года до «___» ___________ 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306"/>
        <w:gridCol w:w="1772"/>
        <w:gridCol w:w="1592"/>
        <w:gridCol w:w="1891"/>
        <w:gridCol w:w="1664"/>
        <w:gridCol w:w="64"/>
        <w:gridCol w:w="1693"/>
      </w:tblGrid>
      <w:tr w:rsidR="00D01C12" w:rsidRPr="00D01C12" w:rsidTr="00D01C12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78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измерений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7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Общие параметры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максимальная приведенная мощность турбины, МВт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 пара при номинальной мощности, т/ч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пара в контрольной ступени.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7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Вибрация подшипников (суммарная),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 (МКМ)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2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3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4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5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6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7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8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9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10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11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12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13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14)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 № 14</w:t>
            </w: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Поперечная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Осевая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пара в коллекторе обогрева шпилек ЦВД/ЦСД (или в обнизке фланцевого разъема ЦВД/ЦСД),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пара за регулирующими клапанами,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80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Параметры системы регулирования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степень неравномерности частоты вращения, %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степень нечувствительности регулирования частоты вращения, %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степень неравномерности регулирования давления пара в отборе, %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степень нечувствительности регулирования давления пара в отборе, % или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отбор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отбор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пределы изменения частоты вращения ротора механизмом управления, верхний предел, С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-1 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(для регуляторов с разделением характеристик не определять); нижний предел, С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-1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(нижний предел обязателен)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785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 плотности клапанов в режиме холостого хода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частота вращения ротора при закрытых регулирующих клапанах, С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80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баббита вкладышей опорных подшипников,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rPr>
          <w:trHeight w:val="375"/>
        </w:trPr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7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8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11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12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Максимальная температура колодок упорного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подшипника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масла в системе смазки, МПа (кгс/см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)</w:t>
            </w:r>
            <w:proofErr w:type="gram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77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Параметры маслосистемы: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температурный напор в маслоохладителях,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температура масла после маслоохладителей,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77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Параметры вакуумной системы: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температурный напор в конденсаторе,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гидравлическое сопротивление конденсатора, мм вод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жесткость конденсата турбины, Мкг-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экв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/л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кислорода в конденсаторе после конденсатных насосов, Мкг/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скорость падения вакуума, мм рт. </w:t>
            </w:r>
            <w:proofErr w:type="spellStart"/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/мин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разрежение, создаваемое эжектором,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рт. ст.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077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Параметры плотности обратных и предохранительных клапанов: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прирост мощности турбоагрегата при закрытых обратных клапанах (для турбин с поперечными связями), кВт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прирост частоты вращения холостого хода при закрытых обратных клапанах (для турбин энергоблоков), С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3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в камере отбора при срабатывании предохранительных клапанов,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Электростанция ______________________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 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основных параметров технического состояния гидротурбинной установки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№ ____ с турбиной типа _____ завод _____ заводской № ______,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год выпуска__________.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Номинальная мощность турбины ______ МВт, расчетный напор по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мощности _________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год выпуска гидротурбинной установки 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эксплуатацию ________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Гидротурбинная установка находилась в __________ ремонте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«___» __________ ________ года до «___» __________ ________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829"/>
        <w:gridCol w:w="1692"/>
        <w:gridCol w:w="2103"/>
        <w:gridCol w:w="1709"/>
        <w:gridCol w:w="1639"/>
      </w:tblGrid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22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91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232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  капитального ремонта</w:t>
            </w: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Номинальной мощности (в числителе) и холостому ходу (в знаменателе) соответствуют: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открытие направляющего аппарата по шкале сервомотора,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угол разворота лопастей рабочего колеса по шкале на маслоприемнике, град.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в спиральной камере,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Номинальной мощности (в числителе) и холостому ходу (в знаменателе) соответствуют: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вибрация, мм/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верхней крестовины генератора: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горизонтальная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нижней крестовины генератора: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горизонтальная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крышки турбины: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горизонтальная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биение вала,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верхнего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нижнего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подшипника турбины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Максимальное рабочее давление в котле маслонапорной установки (МНУ),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включения рабочего маслонасоса (на котел МНУ),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включения резервного маслонасоса (на котел МНУ),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Отношение времени работы насосов на котел МНУ под давлением (числитель) к времени стоянки насосов (знаменатель) при работе гидротурбины под нагрузкой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насоса № 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для насоса № 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открытия направляющего аппарата турбины от 0 до 100 %,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закрытия направляющего аппарата турбины от 100 % до 0,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полного разворота лопастей 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рабочего колеса,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Минимальное давление масла в системе регулирования, обеспечивающее закрытие направляющего аппарата гидротурбины без воды, МПа (кгс/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открытия турбинного затвора,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закрытия турбинного затвора,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Частота вращения ротора гидротурбины,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/мин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котором: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выключается торможение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срабатывает защита от разгона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снижения частоты вращения ротора от номинальной частоты вращения, при которой включается торможение,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Время торможения,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Установившаяся температура при работе турбины с номинальной мощностью,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масла: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ванне подпятника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ванне верхнего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 ванне нижнего 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ванне подшипника турбины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сливном баке МНУ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каждом сегменте подпятника: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3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5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6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вкладыша (сегментов) верхнего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вкладыша (сегментов) нижнего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вкладыша (сегментов) подшипника турбины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охлаждающей воды до (в числителе) и после (в знаменателе):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маслоохладителей верхнего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маслоохладителей нижнего подшипника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маслоохладителей 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подшипника турбины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маслоохладителей гидравлической системы регулирования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воздухоохладителей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воздуха до (в числителе) и после (в знаменателе) воздухоохладителей генератора</w:t>
            </w:r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66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Измерения производились при следующих условиях: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отметке верхнего бьефа,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отметке нижнего бьефа,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температуре воды, проходящей через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турбину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температуре воздуха в шахте турбины,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4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температуре воздуха в помещении установки сливного бака МНУ,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2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горизонтальную вибрацию и биение вала следует измерять в двух направлениях.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6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 ____________________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турбогенератора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№ ____ тип 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завод (производитель) _______ заводской №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______, год выпуска ______ , год пуска в эксплуатацию __________.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Номинальная мощность турбины _____ МВт, расчетный напор по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мощности _______ м, год выпуска гидротурбинной установки в эксплуатацию 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Турбогенератор находился в ____________________________ ремонте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105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9"/>
        <w:gridCol w:w="3332"/>
        <w:gridCol w:w="2148"/>
        <w:gridCol w:w="1615"/>
        <w:gridCol w:w="1615"/>
        <w:gridCol w:w="1371"/>
      </w:tblGrid>
      <w:tr w:rsidR="00D01C12" w:rsidRPr="00D01C12" w:rsidTr="00D01C12">
        <w:tc>
          <w:tcPr>
            <w:tcW w:w="39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22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294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12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rPr>
          <w:trHeight w:val="390"/>
        </w:trPr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8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Мощность турбогенератора, МВт</w:t>
            </w: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1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изоляции, МОм:</w:t>
            </w: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01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 (каждая фаза в отдельности относительно корпуса и двух других заземляемых фаз):</w:t>
            </w: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горячем состоянии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rPr>
          <w:trHeight w:val="465"/>
        </w:trPr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холодном состоянии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цепи возбуждения генератора и возбудителя со всей присоединенной аппаратурой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обмотки возбудителя и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подвозбудителя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(относительно корпуса и бандажей)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1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Нагрев активных частей (турбогенератора и охлаждающей среды.),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01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температура выходящей охлаждающей жидкости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D01C12" w:rsidRPr="00D01C12" w:rsidTr="00D01C12">
        <w:trPr>
          <w:trHeight w:val="375"/>
        </w:trPr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01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Температура выходящего охлаждающего газа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Нагрев: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Вибрация,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 (мкм)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контактных колец: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корпуса статора: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фундамента: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лобовых частей обмотки статора: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Утечка водорода в собранном генераторе при рабочем давлении,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водорода в картере опорного подшипника, %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 стороны турбины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 стороны возбудителя (или со стороны свободного конца вала)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08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Влажность водорода в корпусе:</w:t>
            </w: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Примечание: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 пункте 2 ведомости в числителе указывается сопротивление изоляции через 60 секунд после приложения напряжения, в знаменателе - через 15 секунд;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при определении вертикальной и поперечной вибрации корпуса статора (пункт 4) указать раздельно вибрации полюсной и "обратной" частот;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вибрация лобовых частей обмотки статора измеряется только при специальных испытаниях.</w:t>
      </w:r>
      <w:proofErr w:type="gramEnd"/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Приложение 7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гидрогенератора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№ 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тип ______ , завод (производитель) _____ , заводской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_______ , год выпуска _____ , год пуска в эксплуатацию ________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Гидрогенератор находился в ______________ ремонте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050"/>
        <w:gridCol w:w="1785"/>
        <w:gridCol w:w="1620"/>
        <w:gridCol w:w="1665"/>
        <w:gridCol w:w="1500"/>
      </w:tblGrid>
      <w:tr w:rsidR="00D01C12" w:rsidRPr="00D01C12" w:rsidTr="00D01C12">
        <w:tc>
          <w:tcPr>
            <w:tcW w:w="3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7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2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14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Мощность гидрогенератора, МВт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изоляции, МОм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 (каждая фаза в отдельности относительно корпуса и двух других заземленных фаз):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горячем состоянии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холодном состоянии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цепи возбуждения (со всей присоединенной аппаратурой):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генератора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возбудителя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 (относительно корпуса и бандажей):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возбудителя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подвозбудителя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Нагрев активных частей гидрогенератора и охлаждающей среды,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обмоток статора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обмоток ротора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воздуха, входящего из отбора,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охлаждающей среды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ротора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Вибрация,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 (мкм)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статора генератора (полюсная частота):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статора генератора (оборотная частота):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 (полюсная частота):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 (оборотная частота):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опорной крестовины (у подпятника):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корпуса турбинного подшипника: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радиальная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тангенциальная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Биение вала,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верхнего генераторного подшипника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 корпуса турбинного подшипника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коллектора возбудителя: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холодном состоянии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горячем состоянии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106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контактных колец: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верхнего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нижнего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 пункте 2 ведомости в числителе указывается сопротивление изоляции через 60 секунд после приложения напряжения, в знаменателе - через 15 секунд;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замеры вибрации (пункт 4) проводятся при холостом ходе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гидрогенератора без возбуждения, холостом ходе с возбуждением 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номинальном режиме в горячем состоянии.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8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синхронного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компенсатора станции № 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тип _______ , завод (производитель)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_________, заводской № ____, год выпуска ________, год пуска 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эксплуатацию 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Синхронный компенсатор находился в ремонте 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068"/>
        <w:gridCol w:w="1718"/>
        <w:gridCol w:w="1493"/>
        <w:gridCol w:w="1615"/>
        <w:gridCol w:w="1615"/>
        <w:gridCol w:w="1465"/>
      </w:tblGrid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4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0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14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Мощность синхронного компенсатора, МВА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6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изоляции, МОм;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1)</w:t>
            </w:r>
          </w:p>
        </w:tc>
        <w:tc>
          <w:tcPr>
            <w:tcW w:w="996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обмотки статора (каждая фаза в отдельности относительно корпуса и двух других заземленных фаз):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горячем состоянии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холодном состоянии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цепи возбуждения синхронного компенсатора и возбудителя со всей присоединенной аппаратурой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6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Нагрев активных частей синхронного компенсатора,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обмоток статора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обмоток ротора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сердечника статора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960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Вибрация,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мм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 (мкм):</w:t>
            </w:r>
          </w:p>
        </w:tc>
      </w:tr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2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подшипника № 1: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2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подшипника № 2: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2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подшипника № 3: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2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подшипника № 4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вертикальная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поперечная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осевая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6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Утечка водорода в собранном синхронном компенсаторе при рабочем давлении,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в пункте 2 ведомости в числителе указывается сопротивление изоляции через 60 секунд после приложения напряжения, в знаменателе - через 15 секунд.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9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трансформатора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(ПС) № 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заводской № ______ , тип ____ , завод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(производитель) _______ , год выпуска _______ , год пуска 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эксплуатацию 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Трансформатор находился в _____________________ ремонте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810"/>
        <w:gridCol w:w="1493"/>
        <w:gridCol w:w="1811"/>
        <w:gridCol w:w="1869"/>
        <w:gridCol w:w="2000"/>
      </w:tblGrid>
      <w:tr w:rsidR="00D01C12" w:rsidRPr="00D01C12" w:rsidTr="00D01C12">
        <w:tc>
          <w:tcPr>
            <w:tcW w:w="3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9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Мощность, МВА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Напряжение,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Группа соединения обмоток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Потери холостого хода, кВт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Ток холостого хода, %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изоляции обмоток (R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bscript"/>
                <w:lang w:eastAsia="ru-RU"/>
              </w:rPr>
              <w:t>60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МОм) при температуре обмотки трансформатора,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Вносятся значения, измеренные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мегометром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напряжение 2500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012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Тангенс угла диэлектрических потерь изоляции обмоток (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d, %) при температуре обмотки трансформатора,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_______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12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Отношение С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b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bscript"/>
                <w:lang w:eastAsia="ru-RU"/>
              </w:rPr>
              <w:t>50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обмотки трансформатора,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______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обмоток постоянному току (R, Ом) на всех ответвлениях при температуре обмотки трансформатора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_____________________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Ом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Вносятся значения сопротивления при номинальном положении переключателей. Значения на остальных положениях переключателей указываются в протоколе испытаний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012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Коэффициент трансформации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ВН-СН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ВН-НН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СН-НН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всех фаз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Сопротивление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межлистовой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изоляции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магнитопровода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постоянному току, Ом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00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изоляции, Ом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ярмовых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балок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сопротивления изоляции может быть заменено испытанием приложенным напряжением 1000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переменного тока 50 Гц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прессующих колец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стяжных шпилек (бандажей) ярма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магнитопровода</w:t>
            </w:r>
            <w:proofErr w:type="spellEnd"/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Влагосодержание твердой изоляции обморок, % (при наличии образцов)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Согласно данным руководства по капитальному ремонту трансформаторов напряжением 110-750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мощностью 80 МВА и более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отношения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Symbol" w:eastAsia="Times New Roman" w:hAnsi="Symbol" w:cs="Courier New"/>
                <w:color w:val="000000"/>
                <w:spacing w:val="2"/>
                <w:sz w:val="20"/>
                <w:szCs w:val="20"/>
                <w:lang w:eastAsia="ru-RU"/>
              </w:rPr>
              <w:t>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11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Сокращенный физико-химический анализ масла из бака трансформатора и устройства РПН (при наличии)</w:t>
            </w:r>
          </w:p>
        </w:tc>
        <w:tc>
          <w:tcPr>
            <w:tcW w:w="198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числителе указываются данные анализа масла из бака трансформатора, в знаменателе из устройства РПН с указанием даты отбора пробы и температуры масла при отборе</w:t>
            </w: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влагосодержание, %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механических примесей (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/т)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водорастворимых кислот и щелочей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кислотное число,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мгКОН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/г масла, не более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вспышки паров,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электрическая прочность,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35C46952" wp14:editId="4B094AE0">
                  <wp:extent cx="66675" cy="114300"/>
                  <wp:effectExtent l="0" t="0" r="9525" b="0"/>
                  <wp:docPr id="1" name="Рисунок 1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20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С, %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E0537C4" wp14:editId="7939194A">
                  <wp:extent cx="66675" cy="114300"/>
                  <wp:effectExtent l="0" t="0" r="9525" b="0"/>
                  <wp:docPr id="2" name="Рисунок 2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70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b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С, %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51CD3FEC" wp14:editId="4A1A1388">
                  <wp:extent cx="66675" cy="114300"/>
                  <wp:effectExtent l="0" t="0" r="9525" b="0"/>
                  <wp:docPr id="3" name="Рисунок 3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90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С, %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газосодержание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% объема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11)</w:t>
            </w:r>
          </w:p>
        </w:tc>
        <w:tc>
          <w:tcPr>
            <w:tcW w:w="28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хроматографический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анализ газов в масле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Заливка маслом проводилась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 _________________________________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(метод заливки, вакуум,) (продолжительность заливки)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Продолжительность отстоя масла до испытания 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Продолжительность соприкосновения активной части с окружающим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воздухом, часов ________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температура активной части, измеренная на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верхнем ярме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магнитопровода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 начальный период соприкосновения с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воздухом, 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 , в конце 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________.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Ремонт производился в условиях ________________________________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                               (завода,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энергопредприятия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Метод нагрева ____________ , продолжительность,__________ часов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Примечание: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образцы твердой изоляции (пункт 13 ведомости) отобрать 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начале вскрытия и перед заливкой активной части маслом;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характеристики изоляции по пункту 15 ведомости определяют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 температуре не ниже 10 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15"/>
          <w:szCs w:val="15"/>
          <w:bdr w:val="none" w:sz="0" w:space="0" w:color="auto" w:frame="1"/>
          <w:vertAlign w:val="superscript"/>
          <w:lang w:eastAsia="ru-RU"/>
        </w:rPr>
        <w:t>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 трансформаторов мощностью до 80 MB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напряжением до 150 </w:t>
      </w:r>
      <w:proofErr w:type="spell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</w:t>
      </w:r>
      <w:proofErr w:type="spell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для остальных трансформаторов - при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температуре не менее нижнего значения, указанного в заводском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протоколе испытаний.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Результаты испытаний, измерений маслонаполненных вводов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(испытания и измерения проводятся в соответствии с действующими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нормативными актами)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024"/>
        <w:gridCol w:w="297"/>
        <w:gridCol w:w="296"/>
        <w:gridCol w:w="296"/>
        <w:gridCol w:w="296"/>
        <w:gridCol w:w="296"/>
        <w:gridCol w:w="456"/>
        <w:gridCol w:w="1224"/>
        <w:gridCol w:w="2753"/>
      </w:tblGrid>
      <w:tr w:rsidR="00D01C12" w:rsidRPr="00D01C12" w:rsidTr="00D01C12">
        <w:tc>
          <w:tcPr>
            <w:tcW w:w="4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2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03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Нейтраль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81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СН</w:t>
            </w:r>
          </w:p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Номер ввода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Испытательное напряжение,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Продолжительность испытания,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температуре,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температуре,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Емкость,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пф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приводятся в числителе - после ремонта, в знаменателе - до ремонта</w:t>
            </w: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Масло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вводах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механических примесей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Влагосодержание, %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Наличие водорастворимых кислот и щелочей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вспышки в закрытом тигле,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не ниже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Кислотное число,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мгКОН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/г масла, не более</w:t>
            </w: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9000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Электрическая прочность изоляции,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27ACAD06" wp14:editId="26768D08">
                  <wp:extent cx="66675" cy="114300"/>
                  <wp:effectExtent l="0" t="0" r="9525" b="0"/>
                  <wp:docPr id="4" name="Рисунок 4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20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0517243D" wp14:editId="63D5E916">
                  <wp:extent cx="66675" cy="114300"/>
                  <wp:effectExtent l="0" t="0" r="9525" b="0"/>
                  <wp:docPr id="5" name="Рисунок 5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при температуре 70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7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tg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r w:rsidRPr="00D01C12">
              <w:rPr>
                <w:rFonts w:ascii="Courier New" w:eastAsia="Times New Roman" w:hAnsi="Courier New" w:cs="Courier New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inline distT="0" distB="0" distL="0" distR="0" wp14:anchorId="6F744636" wp14:editId="5AB686DE">
                  <wp:extent cx="66675" cy="114300"/>
                  <wp:effectExtent l="0" t="0" r="9525" b="0"/>
                  <wp:docPr id="6" name="Рисунок 6" descr="http://adilet.zan.kz/files/0442/83/1045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dilet.zan.kz/files/0442/83/1045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температуре 90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10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 ________________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золоулавливающей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установки № 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тип _____ , завод (производитель)______________,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заводской № _____ , год выпуска _____ , год пуска в эксплуатацию ___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Золоулавливающая установка установлена за котлом ____ типа ___,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№ ____ и находилась в _______________________________ ремонте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873"/>
        <w:gridCol w:w="1120"/>
        <w:gridCol w:w="1633"/>
        <w:gridCol w:w="1615"/>
        <w:gridCol w:w="1615"/>
        <w:gridCol w:w="2005"/>
      </w:tblGrid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74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нормативные данные</w:t>
            </w:r>
          </w:p>
        </w:tc>
        <w:tc>
          <w:tcPr>
            <w:tcW w:w="300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изменений</w:t>
            </w:r>
          </w:p>
        </w:tc>
        <w:tc>
          <w:tcPr>
            <w:tcW w:w="24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газов, поступающих на очистку,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газов за золоулавливающей установкой,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Содержание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горючих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уносе, %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 твердого топлива, т/ч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Избыток воздуха перед золоулавливающей установкой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Избыток воздуха после золоулавливающей установки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Присосы воздуха в золоулавливающей установке, %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Объем дымовых газов, поступающих на очистку при нормальных условиях, 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Сопротивление золоулавливающей установки,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10. 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Расход воды на орошение золоулавливающей 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установки,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мт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Удельный расход воды на орошение труб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Вентури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т/ч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золы, уходящей с дымовыми газами в атмосферу, т/ч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Удельный расход электроэнергии на очистку 1000 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газа, кВт/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Скорость дымовых газов в электрофильтре: горловине трубы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Вентури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м/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Степень очистки дымовых газов, %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090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Задымленность дымовых газов при нормальных условиях:</w:t>
            </w: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перед золоулавливающей установкой,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67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после золоулавливающей установки,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/м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90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Вольтамперные характеристики электрофильтров:</w:t>
            </w:r>
          </w:p>
        </w:tc>
      </w:tr>
      <w:tr w:rsidR="00D01C12" w:rsidRPr="00D01C12" w:rsidTr="00D01C12">
        <w:tc>
          <w:tcPr>
            <w:tcW w:w="55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</w:t>
            </w:r>
          </w:p>
        </w:tc>
        <w:tc>
          <w:tcPr>
            <w:tcW w:w="211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воздухе,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 дымовых газах,</w:t>
            </w:r>
          </w:p>
        </w:tc>
        <w:tc>
          <w:tcPr>
            <w:tcW w:w="15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 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мА</w:t>
            </w: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090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влаги в уходящих газах за эмульгатором, %</w:t>
            </w: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 при наличии нескольких параллельно работающих золоулавливающих аппаратов показатели указывать для каждого аппарата и средний показатель на установку в целом.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(должность, Ф.И.О, подпись, печать, дата)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11             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организации технического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обслуживания и ремонта оборудования,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зданий и сооружений электростанций,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тепловых и электрических сетей  </w:t>
      </w:r>
    </w:p>
    <w:p w:rsidR="00D01C12" w:rsidRPr="00D01C12" w:rsidRDefault="00D01C12" w:rsidP="00D01C12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</w:t>
      </w:r>
    </w:p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Электростанция ______________</w:t>
      </w:r>
    </w:p>
    <w:p w:rsidR="00D01C12" w:rsidRPr="00D01C12" w:rsidRDefault="00D01C12" w:rsidP="00D01C1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           </w:t>
      </w:r>
      <w:r w:rsidRPr="00D01C1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ВЕДОМОСТЬ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основных параметров технического состояния котельной установки,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станции № ________</w:t>
      </w:r>
      <w:proofErr w:type="gramStart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паровым котлом типа ______, завод ________,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заводской № _____ , год выпуска ______, год пуска в эксплуатацию 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Котельная установка находилась в _____________________________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          (вид ремонта)</w:t>
      </w: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 «____» __________ ________ года до «____» __________ ________ года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466"/>
        <w:gridCol w:w="1506"/>
        <w:gridCol w:w="1865"/>
        <w:gridCol w:w="1712"/>
        <w:gridCol w:w="1434"/>
      </w:tblGrid>
      <w:tr w:rsidR="00D01C12" w:rsidRPr="00D01C12" w:rsidTr="00D01C12">
        <w:tc>
          <w:tcPr>
            <w:tcW w:w="4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Параметр технического состояния</w:t>
            </w:r>
          </w:p>
        </w:tc>
        <w:tc>
          <w:tcPr>
            <w:tcW w:w="16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Заводские, проектные или нормативны данные</w:t>
            </w:r>
          </w:p>
        </w:tc>
        <w:tc>
          <w:tcPr>
            <w:tcW w:w="39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эксплуатационных испытаний или измерений</w:t>
            </w:r>
          </w:p>
        </w:tc>
        <w:tc>
          <w:tcPr>
            <w:tcW w:w="150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01C12" w:rsidRPr="00D01C12" w:rsidTr="00D01C1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 капитального ремонта</w:t>
            </w: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после капитального ремонта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Паропроизводительность</w:t>
            </w:r>
            <w:proofErr w:type="spell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т/ч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перегретого пара,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Температура перегретого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пара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Давление пара на выходе из промежуточного перегревателя, МПа (кгс/см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Температура пара на выходе из промежуточного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перегревателя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питательной воды до экономайзера,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питательной воды за экономайзером,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воздуха до воздухоподогревателя,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воздуха за воздухоподогревателем,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Температура уходящих газов за воздухоподогревателем, 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15"/>
                <w:szCs w:val="15"/>
                <w:bdr w:val="none" w:sz="0" w:space="0" w:color="auto" w:frame="1"/>
                <w:vertAlign w:val="superscript"/>
                <w:lang w:eastAsia="ru-RU"/>
              </w:rPr>
              <w:t>о</w:t>
            </w: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spellEnd"/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Газовое сопротивление воздухоподогревателя, мм вод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Общее сопротивление газового тракта, мм вод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Общее сопротивление воздушного тракта, мм вод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Коэффициент избытка воздуха: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 котлом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 воздухоподогревателем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 дымососом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Присосы воздуха в топку, %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Потери тепла с уходящими газами, %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Коэффициент полезного действия котельной установки, брутто, %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Расход электроэнергии на собственные нужды, кВт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</w:t>
            </w:r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/т пара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Расход электроэнергии на тягу и дутье,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кВт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/т пара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12" w:rsidRPr="00D01C12" w:rsidTr="00D01C12">
        <w:tc>
          <w:tcPr>
            <w:tcW w:w="4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Расход электроэнергии на помол топлива, </w:t>
            </w:r>
            <w:proofErr w:type="spell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кВт</w:t>
            </w:r>
            <w:proofErr w:type="gramStart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D01C1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/т топлива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C12" w:rsidRPr="00D01C12" w:rsidRDefault="00D01C12" w:rsidP="00D0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C12" w:rsidRPr="00D01C12" w:rsidRDefault="00D01C12" w:rsidP="00D01C1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01C1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(должность, Ф.И.О, подпись, печать, дата)</w:t>
      </w:r>
    </w:p>
    <w:p w:rsidR="008D0FC1" w:rsidRDefault="008D0FC1">
      <w:bookmarkStart w:id="43" w:name="_GoBack"/>
      <w:bookmarkEnd w:id="43"/>
    </w:p>
    <w:sectPr w:rsidR="008D0FC1" w:rsidSect="00D01C12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12136"/>
    <w:multiLevelType w:val="multilevel"/>
    <w:tmpl w:val="A114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3"/>
    <w:rsid w:val="008D0FC1"/>
    <w:rsid w:val="00D01C12"/>
    <w:rsid w:val="00E2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C12"/>
  </w:style>
  <w:style w:type="paragraph" w:styleId="a3">
    <w:name w:val="Normal (Web)"/>
    <w:basedOn w:val="a"/>
    <w:uiPriority w:val="99"/>
    <w:unhideWhenUsed/>
    <w:rsid w:val="00D0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C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1C12"/>
    <w:rPr>
      <w:color w:val="800080"/>
      <w:u w:val="single"/>
    </w:rPr>
  </w:style>
  <w:style w:type="character" w:customStyle="1" w:styleId="apple-converted-space">
    <w:name w:val="apple-converted-space"/>
    <w:basedOn w:val="a0"/>
    <w:rsid w:val="00D01C12"/>
  </w:style>
  <w:style w:type="paragraph" w:styleId="a6">
    <w:name w:val="Balloon Text"/>
    <w:basedOn w:val="a"/>
    <w:link w:val="a7"/>
    <w:uiPriority w:val="99"/>
    <w:semiHidden/>
    <w:unhideWhenUsed/>
    <w:rsid w:val="00D0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C12"/>
  </w:style>
  <w:style w:type="paragraph" w:styleId="a3">
    <w:name w:val="Normal (Web)"/>
    <w:basedOn w:val="a"/>
    <w:uiPriority w:val="99"/>
    <w:unhideWhenUsed/>
    <w:rsid w:val="00D0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C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1C12"/>
    <w:rPr>
      <w:color w:val="800080"/>
      <w:u w:val="single"/>
    </w:rPr>
  </w:style>
  <w:style w:type="character" w:customStyle="1" w:styleId="apple-converted-space">
    <w:name w:val="apple-converted-space"/>
    <w:basedOn w:val="a0"/>
    <w:rsid w:val="00D01C12"/>
  </w:style>
  <w:style w:type="paragraph" w:styleId="a6">
    <w:name w:val="Balloon Text"/>
    <w:basedOn w:val="a"/>
    <w:link w:val="a7"/>
    <w:uiPriority w:val="99"/>
    <w:semiHidden/>
    <w:unhideWhenUsed/>
    <w:rsid w:val="00D0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451/info" TargetMode="External"/><Relationship Id="rId13" Type="http://schemas.openxmlformats.org/officeDocument/2006/relationships/hyperlink" Target="javascript:window.print()" TargetMode="External"/><Relationship Id="rId18" Type="http://schemas.openxmlformats.org/officeDocument/2006/relationships/hyperlink" Target="http://adilet.zan.kz/rus/docs/V150001045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V1500010451" TargetMode="External"/><Relationship Id="rId7" Type="http://schemas.openxmlformats.org/officeDocument/2006/relationships/hyperlink" Target="http://adilet.zan.kz/rus/origins/V1500010451" TargetMode="External"/><Relationship Id="rId12" Type="http://schemas.openxmlformats.org/officeDocument/2006/relationships/hyperlink" Target="http://adilet.zan.kz/rus/docs/V1500010451/download" TargetMode="External"/><Relationship Id="rId17" Type="http://schemas.openxmlformats.org/officeDocument/2006/relationships/hyperlink" Target="http://adilet.zan.kz/rus/docs/V150001045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40000588_" TargetMode="External"/><Relationship Id="rId20" Type="http://schemas.openxmlformats.org/officeDocument/2006/relationships/hyperlink" Target="http://adilet.zan.kz/rus/docs/V15000104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500010451" TargetMode="External"/><Relationship Id="rId11" Type="http://schemas.openxmlformats.org/officeDocument/2006/relationships/hyperlink" Target="http://adilet.zan.kz/rus/docs/V1500010451/compare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00010451" TargetMode="External"/><Relationship Id="rId23" Type="http://schemas.openxmlformats.org/officeDocument/2006/relationships/hyperlink" Target="http://adilet.zan.kz/rus/docs/V1500010451" TargetMode="External"/><Relationship Id="rId10" Type="http://schemas.openxmlformats.org/officeDocument/2006/relationships/hyperlink" Target="http://adilet.zan.kz/rus/docs/V1500010451/links" TargetMode="External"/><Relationship Id="rId19" Type="http://schemas.openxmlformats.org/officeDocument/2006/relationships/hyperlink" Target="http://adilet.zan.kz/rus/docs/V1500010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0451/history" TargetMode="External"/><Relationship Id="rId14" Type="http://schemas.openxmlformats.org/officeDocument/2006/relationships/hyperlink" Target="http://adilet.zan.kz/rus/docs/Z040000588_" TargetMode="External"/><Relationship Id="rId22" Type="http://schemas.openxmlformats.org/officeDocument/2006/relationships/hyperlink" Target="http://adilet.zan.kz/rus/docs/V1500010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8186</Words>
  <Characters>46665</Characters>
  <Application>Microsoft Office Word</Application>
  <DocSecurity>0</DocSecurity>
  <Lines>388</Lines>
  <Paragraphs>109</Paragraphs>
  <ScaleCrop>false</ScaleCrop>
  <Company/>
  <LinksUpToDate>false</LinksUpToDate>
  <CharactersWithSpaces>54742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2015-09-01T10:00:00Z</dcterms:created>
  <dcterms:modified xsi:type="dcterms:W3CDTF">2015-09-01T10:01:00Z</dcterms:modified>
</cp:coreProperties>
</file>